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Pr="00CC0117" w:rsidRDefault="00CC0117" w:rsidP="00CC0117">
      <w:pPr>
        <w:spacing w:after="0" w:line="480" w:lineRule="auto"/>
        <w:jc w:val="center"/>
        <w:rPr>
          <w:rFonts w:ascii="Times New Roman" w:hAnsi="Times New Roman" w:cs="Times New Roman"/>
          <w:sz w:val="24"/>
          <w:szCs w:val="24"/>
        </w:rPr>
      </w:pPr>
      <w:r w:rsidRPr="00CC0117">
        <w:rPr>
          <w:rFonts w:ascii="Times New Roman" w:hAnsi="Times New Roman" w:cs="Times New Roman"/>
          <w:sz w:val="24"/>
          <w:szCs w:val="24"/>
        </w:rPr>
        <w:t>Lowe’s Growth Model</w:t>
      </w:r>
    </w:p>
    <w:p w:rsidR="00CC0117" w:rsidRPr="00CC0117" w:rsidRDefault="00CC0117" w:rsidP="00CC0117">
      <w:pPr>
        <w:spacing w:after="0" w:line="480" w:lineRule="auto"/>
        <w:jc w:val="center"/>
        <w:rPr>
          <w:rFonts w:ascii="Times New Roman" w:hAnsi="Times New Roman" w:cs="Times New Roman"/>
          <w:sz w:val="24"/>
          <w:szCs w:val="24"/>
        </w:rPr>
      </w:pPr>
      <w:r w:rsidRPr="00CC0117">
        <w:rPr>
          <w:rFonts w:ascii="Times New Roman" w:hAnsi="Times New Roman" w:cs="Times New Roman"/>
          <w:sz w:val="24"/>
          <w:szCs w:val="24"/>
        </w:rPr>
        <w:t>Name of Student</w:t>
      </w:r>
    </w:p>
    <w:p w:rsidR="00CC0117" w:rsidRPr="00CC0117" w:rsidRDefault="00CC0117" w:rsidP="00CC0117">
      <w:pPr>
        <w:spacing w:after="0" w:line="480" w:lineRule="auto"/>
        <w:jc w:val="center"/>
        <w:rPr>
          <w:rFonts w:ascii="Times New Roman" w:hAnsi="Times New Roman" w:cs="Times New Roman"/>
          <w:sz w:val="24"/>
          <w:szCs w:val="24"/>
        </w:rPr>
      </w:pPr>
      <w:r w:rsidRPr="00CC0117">
        <w:rPr>
          <w:rFonts w:ascii="Times New Roman" w:hAnsi="Times New Roman" w:cs="Times New Roman"/>
          <w:sz w:val="24"/>
          <w:szCs w:val="24"/>
        </w:rPr>
        <w:t>Institution</w:t>
      </w: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Default="00CC0117" w:rsidP="00CC0117">
      <w:pPr>
        <w:spacing w:after="0" w:line="480" w:lineRule="auto"/>
        <w:jc w:val="center"/>
        <w:rPr>
          <w:rFonts w:ascii="Times New Roman" w:hAnsi="Times New Roman" w:cs="Times New Roman"/>
          <w:sz w:val="24"/>
          <w:szCs w:val="24"/>
        </w:rPr>
      </w:pPr>
    </w:p>
    <w:p w:rsidR="00CC0117" w:rsidRPr="00CC0117" w:rsidRDefault="00CC0117" w:rsidP="00CC0117">
      <w:pPr>
        <w:spacing w:after="0" w:line="480" w:lineRule="auto"/>
        <w:jc w:val="center"/>
        <w:rPr>
          <w:rFonts w:ascii="Times New Roman" w:hAnsi="Times New Roman" w:cs="Times New Roman"/>
          <w:b/>
          <w:sz w:val="24"/>
          <w:szCs w:val="24"/>
        </w:rPr>
      </w:pPr>
      <w:r w:rsidRPr="00CC0117">
        <w:rPr>
          <w:rFonts w:ascii="Times New Roman" w:hAnsi="Times New Roman" w:cs="Times New Roman"/>
          <w:b/>
          <w:sz w:val="24"/>
          <w:szCs w:val="24"/>
        </w:rPr>
        <w:lastRenderedPageBreak/>
        <w:t>Lowe’s Growth Model</w:t>
      </w:r>
    </w:p>
    <w:p w:rsidR="008C357A" w:rsidRPr="00CC0117" w:rsidRDefault="00CC0117" w:rsidP="00CC011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C357A" w:rsidRPr="00CC0117">
        <w:rPr>
          <w:rFonts w:ascii="Times New Roman" w:hAnsi="Times New Roman" w:cs="Times New Roman"/>
          <w:sz w:val="24"/>
          <w:szCs w:val="24"/>
        </w:rPr>
        <w:t>Growth is an inevitable factor in all aspects of life. Business entities thrive on the prediction that they will record a significant amount of increase from inception al through the rest of the stages to maturity. Some of the business entities that need growth are customer base, supplier base, market share and finances</w:t>
      </w:r>
      <w:r w:rsidRPr="00CC0117">
        <w:rPr>
          <w:rFonts w:ascii="Times New Roman" w:hAnsi="Times New Roman" w:cs="Times New Roman"/>
          <w:sz w:val="24"/>
          <w:szCs w:val="24"/>
        </w:rPr>
        <w:t xml:space="preserve"> (Hepford, 2017)</w:t>
      </w:r>
      <w:r w:rsidR="008C357A" w:rsidRPr="00CC0117">
        <w:rPr>
          <w:rFonts w:ascii="Times New Roman" w:hAnsi="Times New Roman" w:cs="Times New Roman"/>
          <w:sz w:val="24"/>
          <w:szCs w:val="24"/>
        </w:rPr>
        <w:t xml:space="preserve">. Aspects like the physical size of the business and the number of workers it holds are not fundamental in this type of estimation because size is not a determinant factor in all industries; there some key performance metrics that are used to assess the current stage of a business and predict future outcomes. In the larger American and European continents, there is a body that regulates the activity of all business entities. The supply chain council is the agency mandated to create metrics that ensure appropriate key performance indicators are designed and executed. </w:t>
      </w:r>
    </w:p>
    <w:p w:rsidR="008C357A" w:rsidRPr="00CC0117" w:rsidRDefault="00CC0117" w:rsidP="00CC011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C357A" w:rsidRPr="00CC0117">
        <w:rPr>
          <w:rFonts w:ascii="Times New Roman" w:hAnsi="Times New Roman" w:cs="Times New Roman"/>
          <w:sz w:val="24"/>
          <w:szCs w:val="24"/>
        </w:rPr>
        <w:t>The main advantage of conforming to the set rules of such an organisation is that growth of one business entity gets referenced against the other and malpractice is significantly reduced. This aspect reduces the entry barriers into business because trust between key players in the business cycle gets moderated. Suppliers and business owners are expected to work in conformity to the set laws. In such a moderated scenario prices and unfair competition is unlawful and punishable by the governing body or the federal judicial system</w:t>
      </w:r>
      <w:r w:rsidRPr="00CC0117">
        <w:rPr>
          <w:rFonts w:ascii="Times New Roman" w:hAnsi="Times New Roman" w:cs="Times New Roman"/>
          <w:sz w:val="24"/>
          <w:szCs w:val="24"/>
        </w:rPr>
        <w:t xml:space="preserve"> (</w:t>
      </w:r>
      <w:r w:rsidR="00F52D18" w:rsidRPr="00F52D18">
        <w:rPr>
          <w:rFonts w:ascii="Times New Roman" w:hAnsi="Times New Roman" w:cs="Times New Roman"/>
          <w:sz w:val="24"/>
          <w:szCs w:val="24"/>
        </w:rPr>
        <w:t>Zhang, Murthy &amp; Gaynor, 2018)</w:t>
      </w:r>
      <w:bookmarkStart w:id="0" w:name="_GoBack"/>
      <w:bookmarkEnd w:id="0"/>
      <w:r w:rsidR="008C357A" w:rsidRPr="00CC0117">
        <w:rPr>
          <w:rFonts w:ascii="Times New Roman" w:hAnsi="Times New Roman" w:cs="Times New Roman"/>
          <w:sz w:val="24"/>
          <w:szCs w:val="24"/>
        </w:rPr>
        <w:t xml:space="preserve">. Equity, equality and fairness are the primary points of emphasis in the whole equation moderated by the supply chain council. The council focuses on the external relations that a business entity has will all its partners, suppliers and stakeholders. But for the equation to be balanced, there are internal relationships that need emphasis. These relations are ones that a business entity has with its employees and customers. Apart from external competition that influences the decision-making process of a company, the mentioned parties are critical for the </w:t>
      </w:r>
      <w:r w:rsidR="008C357A" w:rsidRPr="00CC0117">
        <w:rPr>
          <w:rFonts w:ascii="Times New Roman" w:hAnsi="Times New Roman" w:cs="Times New Roman"/>
          <w:sz w:val="24"/>
          <w:szCs w:val="24"/>
        </w:rPr>
        <w:lastRenderedPageBreak/>
        <w:t>financial growth of any business entity. They help prioritise the Key performance indicators that can propel growth.</w:t>
      </w:r>
    </w:p>
    <w:p w:rsidR="008C357A" w:rsidRPr="00CC0117" w:rsidRDefault="00CC0117" w:rsidP="00CC011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C357A" w:rsidRPr="00CC0117">
        <w:rPr>
          <w:rFonts w:ascii="Times New Roman" w:hAnsi="Times New Roman" w:cs="Times New Roman"/>
          <w:sz w:val="24"/>
          <w:szCs w:val="24"/>
        </w:rPr>
        <w:t>Lowes company Inc. is one of the largest retail companies that operate in the American, Canadian and Mexican jurisdictions. It faces stiff competition from rival companies like Home Depot, Amazon, Walmart, Alibaba and Masterbrand. To ensure constant growth the company uses unique key performance indicators to assess its current operations and the viability of upcoming decisions</w:t>
      </w:r>
      <w:r w:rsidRPr="00CC0117">
        <w:rPr>
          <w:rFonts w:ascii="Times New Roman" w:hAnsi="Times New Roman" w:cs="Times New Roman"/>
          <w:sz w:val="24"/>
          <w:szCs w:val="24"/>
        </w:rPr>
        <w:t xml:space="preserve"> (Hepford, 2017)</w:t>
      </w:r>
      <w:r w:rsidR="008C357A" w:rsidRPr="00CC0117">
        <w:rPr>
          <w:rFonts w:ascii="Times New Roman" w:hAnsi="Times New Roman" w:cs="Times New Roman"/>
          <w:sz w:val="24"/>
          <w:szCs w:val="24"/>
        </w:rPr>
        <w:t xml:space="preserve">. The company studies the market from an external point of view and adjusts its internal systems to match the competition and other advancements like technology and demand diversification. Lowe's Companies Inc. started in 1921 as a dry goods store in Northern California. Mr Lucius Smith Lowes is the, and since his death in 1940 the company has shifted ownership from his children to an array of partners and board of management. Throughout its existence, the company has diversified its internal and external operations to ensure that its customers receive the best experience and it retains its market share through fair competition and technology incorporation. </w:t>
      </w:r>
    </w:p>
    <w:p w:rsidR="008C357A" w:rsidRPr="00CC0117" w:rsidRDefault="008C357A" w:rsidP="00CC0117">
      <w:pPr>
        <w:spacing w:after="0" w:line="480" w:lineRule="auto"/>
        <w:rPr>
          <w:rFonts w:ascii="Times New Roman" w:hAnsi="Times New Roman" w:cs="Times New Roman"/>
          <w:b/>
          <w:sz w:val="24"/>
          <w:szCs w:val="24"/>
        </w:rPr>
      </w:pPr>
      <w:r w:rsidRPr="00CC0117">
        <w:rPr>
          <w:rFonts w:ascii="Times New Roman" w:hAnsi="Times New Roman" w:cs="Times New Roman"/>
          <w:b/>
          <w:sz w:val="24"/>
          <w:szCs w:val="24"/>
        </w:rPr>
        <w:t xml:space="preserve">Key </w:t>
      </w:r>
      <w:r w:rsidR="00CC0117">
        <w:rPr>
          <w:rFonts w:ascii="Times New Roman" w:hAnsi="Times New Roman" w:cs="Times New Roman"/>
          <w:b/>
          <w:sz w:val="24"/>
          <w:szCs w:val="24"/>
        </w:rPr>
        <w:t>Performance Indicators</w:t>
      </w:r>
    </w:p>
    <w:p w:rsidR="008C357A" w:rsidRPr="00CC0117" w:rsidRDefault="00CC0117" w:rsidP="00CC011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C357A" w:rsidRPr="00CC0117">
        <w:rPr>
          <w:rFonts w:ascii="Times New Roman" w:hAnsi="Times New Roman" w:cs="Times New Roman"/>
          <w:sz w:val="24"/>
          <w:szCs w:val="24"/>
        </w:rPr>
        <w:t>Lowe's company emphasises on excellent and exemplary customer service through the operations of its workers who maintain the culture of discipline and fulfilling the needs of the customers. Work ethic is a determinant factor in the fate of each worker. Being a company that has existed before World War 2, the company has had to diversify its goods and operations to meet the dynamic demands of the market. Before World War 2, the company ran small retail stores in the rural and rural-urban settings that supplied goods like snuff, horse tuck, notions and groceries. The product mix was expanded to building materials to take advantage of their demand during the reconstruction period</w:t>
      </w:r>
      <w:r w:rsidRPr="00CC0117">
        <w:rPr>
          <w:rFonts w:ascii="Times New Roman" w:hAnsi="Times New Roman" w:cs="Times New Roman"/>
          <w:sz w:val="24"/>
          <w:szCs w:val="24"/>
        </w:rPr>
        <w:t xml:space="preserve"> (</w:t>
      </w:r>
      <w:r w:rsidR="00F52D18" w:rsidRPr="00F52D18">
        <w:rPr>
          <w:rFonts w:ascii="Times New Roman" w:hAnsi="Times New Roman" w:cs="Times New Roman"/>
          <w:sz w:val="24"/>
          <w:szCs w:val="24"/>
        </w:rPr>
        <w:t>Zhang, Murth</w:t>
      </w:r>
      <w:r w:rsidR="00F52D18">
        <w:rPr>
          <w:rFonts w:ascii="Times New Roman" w:hAnsi="Times New Roman" w:cs="Times New Roman"/>
          <w:sz w:val="24"/>
          <w:szCs w:val="24"/>
        </w:rPr>
        <w:t>y &amp; Gaynor, 2018</w:t>
      </w:r>
      <w:r w:rsidRPr="00CC0117">
        <w:rPr>
          <w:rFonts w:ascii="Times New Roman" w:hAnsi="Times New Roman" w:cs="Times New Roman"/>
          <w:sz w:val="24"/>
          <w:szCs w:val="24"/>
        </w:rPr>
        <w:t>)</w:t>
      </w:r>
      <w:r w:rsidR="008C357A" w:rsidRPr="00CC0117">
        <w:rPr>
          <w:rFonts w:ascii="Times New Roman" w:hAnsi="Times New Roman" w:cs="Times New Roman"/>
          <w:sz w:val="24"/>
          <w:szCs w:val="24"/>
        </w:rPr>
        <w:t xml:space="preserve">. This time was one </w:t>
      </w:r>
      <w:r w:rsidR="008C357A" w:rsidRPr="00CC0117">
        <w:rPr>
          <w:rFonts w:ascii="Times New Roman" w:hAnsi="Times New Roman" w:cs="Times New Roman"/>
          <w:sz w:val="24"/>
          <w:szCs w:val="24"/>
        </w:rPr>
        <w:lastRenderedPageBreak/>
        <w:t>that the company became a household name and commanded a significant share of the retail industry.</w:t>
      </w:r>
    </w:p>
    <w:p w:rsidR="008C357A" w:rsidRPr="00CC0117" w:rsidRDefault="00CC0117" w:rsidP="00CC011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C357A" w:rsidRPr="00CC0117">
        <w:rPr>
          <w:rFonts w:ascii="Times New Roman" w:hAnsi="Times New Roman" w:cs="Times New Roman"/>
          <w:sz w:val="24"/>
          <w:szCs w:val="24"/>
        </w:rPr>
        <w:t>The Plan-Do-Check-Act (PDCA) cycle is the main continuous improvement technique that the company utilises in all its business endeavours. Through this technique, the company grew from holding small retail stores to big-box business models that supplies goods and products of partner and rival companies to the needed areas. This model has helped the company open stores outside the northern American market that it has controlled since its inception. Proper research gets done on the market that needs adjustment</w:t>
      </w:r>
      <w:r w:rsidRPr="00CC0117">
        <w:rPr>
          <w:rFonts w:ascii="Times New Roman" w:hAnsi="Times New Roman" w:cs="Times New Roman"/>
          <w:sz w:val="24"/>
          <w:szCs w:val="24"/>
        </w:rPr>
        <w:t xml:space="preserve"> (Hepford, 2017)</w:t>
      </w:r>
      <w:r w:rsidR="008C357A" w:rsidRPr="00CC0117">
        <w:rPr>
          <w:rFonts w:ascii="Times New Roman" w:hAnsi="Times New Roman" w:cs="Times New Roman"/>
          <w:sz w:val="24"/>
          <w:szCs w:val="24"/>
        </w:rPr>
        <w:t xml:space="preserve">. Customer needs get prioritised over all other variables then the number and quality of suppliers get deduced to ascertain the sustainability of the new forces of demand and supply. Demand cannot get interfered by the actions of any player in the retail industry. Most companies in this sector rely on their supply channels to fill the demand gap. Marketing through traditional and modern channels help the customer rate the retail shops and base their loyalty in any they prefer. </w:t>
      </w:r>
    </w:p>
    <w:p w:rsidR="00861525" w:rsidRPr="00CC0117" w:rsidRDefault="00CC0117" w:rsidP="00CC011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C357A" w:rsidRPr="00CC0117">
        <w:rPr>
          <w:rFonts w:ascii="Times New Roman" w:hAnsi="Times New Roman" w:cs="Times New Roman"/>
          <w:sz w:val="24"/>
          <w:szCs w:val="24"/>
        </w:rPr>
        <w:t>When Lowe's utilised the big-box model in the 1980's out of stiff competition from Home Depot, it realised yearly financial growth. The sustainability and attractiveness of the model helped it expand to nations outside America and still retains its economic status. Competition is the primary driver of Lowe's operations and services. Though the company still maintains its culture of excellent customer service, it had to expand its partners and suppliers to sustain its market share. As a means of advertising the company has partnered with car manufacturing companies and racing drivers to push the agenda. More advertising ways that the company uses to lure its customers and drive its sales include the application of green technology to build its stores</w:t>
      </w:r>
      <w:r w:rsidRPr="00CC0117">
        <w:rPr>
          <w:rFonts w:ascii="Times New Roman" w:hAnsi="Times New Roman" w:cs="Times New Roman"/>
          <w:sz w:val="24"/>
          <w:szCs w:val="24"/>
        </w:rPr>
        <w:t xml:space="preserve"> (Zokaei, Lovins, Wood &amp; Hines, 2016)</w:t>
      </w:r>
      <w:r w:rsidR="008C357A" w:rsidRPr="00CC0117">
        <w:rPr>
          <w:rFonts w:ascii="Times New Roman" w:hAnsi="Times New Roman" w:cs="Times New Roman"/>
          <w:sz w:val="24"/>
          <w:szCs w:val="24"/>
        </w:rPr>
        <w:t>. The company has received many accolades for this venture its sales have grown exponentially in all jurisdictions that it operates within.</w:t>
      </w:r>
    </w:p>
    <w:p w:rsidR="00861525" w:rsidRPr="00CC0117" w:rsidRDefault="00861525" w:rsidP="00CC0117">
      <w:pPr>
        <w:spacing w:after="0" w:line="480" w:lineRule="auto"/>
        <w:jc w:val="center"/>
        <w:rPr>
          <w:rFonts w:ascii="Times New Roman" w:hAnsi="Times New Roman" w:cs="Times New Roman"/>
          <w:sz w:val="24"/>
          <w:szCs w:val="24"/>
        </w:rPr>
      </w:pPr>
      <w:r w:rsidRPr="00CC0117">
        <w:rPr>
          <w:rFonts w:ascii="Times New Roman" w:hAnsi="Times New Roman" w:cs="Times New Roman"/>
          <w:sz w:val="24"/>
          <w:szCs w:val="24"/>
        </w:rPr>
        <w:lastRenderedPageBreak/>
        <w:t>References</w:t>
      </w:r>
    </w:p>
    <w:p w:rsidR="00861525" w:rsidRPr="00CC0117" w:rsidRDefault="00861525" w:rsidP="00CC0117">
      <w:pPr>
        <w:spacing w:after="0" w:line="480" w:lineRule="auto"/>
        <w:rPr>
          <w:rFonts w:ascii="Times New Roman" w:hAnsi="Times New Roman" w:cs="Times New Roman"/>
          <w:sz w:val="24"/>
          <w:szCs w:val="24"/>
        </w:rPr>
      </w:pPr>
      <w:r w:rsidRPr="00CC0117">
        <w:rPr>
          <w:rFonts w:ascii="Times New Roman" w:hAnsi="Times New Roman" w:cs="Times New Roman"/>
          <w:sz w:val="24"/>
          <w:szCs w:val="24"/>
        </w:rPr>
        <w:t xml:space="preserve">Hepford, E. A. (2017). Language for profit: Spanish–English bilingualism in Lowe's Home </w:t>
      </w:r>
      <w:r w:rsidR="00CC0117">
        <w:rPr>
          <w:rFonts w:ascii="Times New Roman" w:hAnsi="Times New Roman" w:cs="Times New Roman"/>
          <w:sz w:val="24"/>
          <w:szCs w:val="24"/>
        </w:rPr>
        <w:tab/>
      </w:r>
      <w:r w:rsidRPr="00CC0117">
        <w:rPr>
          <w:rFonts w:ascii="Times New Roman" w:hAnsi="Times New Roman" w:cs="Times New Roman"/>
          <w:sz w:val="24"/>
          <w:szCs w:val="24"/>
        </w:rPr>
        <w:t>Improvement. International Journal of Bilingual Education and Bilingualism, 20(6), 652-</w:t>
      </w:r>
      <w:r w:rsidR="00CC0117">
        <w:rPr>
          <w:rFonts w:ascii="Times New Roman" w:hAnsi="Times New Roman" w:cs="Times New Roman"/>
          <w:sz w:val="24"/>
          <w:szCs w:val="24"/>
        </w:rPr>
        <w:tab/>
      </w:r>
      <w:r w:rsidRPr="00CC0117">
        <w:rPr>
          <w:rFonts w:ascii="Times New Roman" w:hAnsi="Times New Roman" w:cs="Times New Roman"/>
          <w:sz w:val="24"/>
          <w:szCs w:val="24"/>
        </w:rPr>
        <w:t>666.</w:t>
      </w:r>
    </w:p>
    <w:p w:rsidR="00177CA2" w:rsidRDefault="00177CA2" w:rsidP="00CC0117">
      <w:pPr>
        <w:spacing w:after="0" w:line="480" w:lineRule="auto"/>
        <w:rPr>
          <w:rFonts w:ascii="Times New Roman" w:hAnsi="Times New Roman" w:cs="Times New Roman"/>
          <w:sz w:val="24"/>
          <w:szCs w:val="24"/>
        </w:rPr>
      </w:pPr>
      <w:r>
        <w:rPr>
          <w:rFonts w:ascii="Times New Roman" w:hAnsi="Times New Roman" w:cs="Times New Roman"/>
          <w:sz w:val="24"/>
          <w:szCs w:val="24"/>
        </w:rPr>
        <w:t>Lowes financial operations in Mexico. Retrieved from;</w:t>
      </w:r>
      <w:r>
        <w:rPr>
          <w:rFonts w:ascii="Times New Roman" w:hAnsi="Times New Roman" w:cs="Times New Roman"/>
          <w:sz w:val="24"/>
          <w:szCs w:val="24"/>
        </w:rPr>
        <w:tab/>
      </w:r>
      <w:hyperlink r:id="rId6" w:history="1">
        <w:r w:rsidR="00F52D18" w:rsidRPr="00A77615">
          <w:rPr>
            <w:rStyle w:val="Hyperlink"/>
            <w:rFonts w:ascii="Times New Roman" w:hAnsi="Times New Roman" w:cs="Times New Roman"/>
            <w:sz w:val="24"/>
            <w:szCs w:val="24"/>
          </w:rPr>
          <w:t>https://www.bizjournals.com/charlotte/news/2018/11/20/lowe-s-to-exit-mexico</w:t>
        </w:r>
        <w:r w:rsidR="00F52D18" w:rsidRPr="00A77615">
          <w:rPr>
            <w:rStyle w:val="Hyperlink"/>
            <w:rFonts w:ascii="Times New Roman" w:hAnsi="Times New Roman" w:cs="Times New Roman"/>
            <w:sz w:val="24"/>
            <w:szCs w:val="24"/>
          </w:rPr>
          <w:tab/>
          <w:t>operations-beats-market.html</w:t>
        </w:r>
      </w:hyperlink>
    </w:p>
    <w:p w:rsidR="00F52D18" w:rsidRDefault="00F52D18" w:rsidP="00CC011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Lowes financial graphs. Retrieved from; </w:t>
      </w:r>
      <w:hyperlink w:history="1">
        <w:r w:rsidRPr="00A77615">
          <w:rPr>
            <w:rStyle w:val="Hyperlink"/>
            <w:rFonts w:ascii="Times New Roman" w:hAnsi="Times New Roman" w:cs="Times New Roman"/>
            <w:sz w:val="24"/>
            <w:szCs w:val="24"/>
          </w:rPr>
          <w:t>http://phx.corporate-</w:t>
        </w:r>
        <w:r w:rsidRPr="00A77615">
          <w:rPr>
            <w:rStyle w:val="Hyperlink"/>
            <w:rFonts w:ascii="Times New Roman" w:hAnsi="Times New Roman" w:cs="Times New Roman"/>
            <w:sz w:val="24"/>
            <w:szCs w:val="24"/>
          </w:rPr>
          <w:tab/>
          <w:t>ir.net/phoenix.zhtml?c=95223&amp;p=irol-stockchart</w:t>
        </w:r>
      </w:hyperlink>
    </w:p>
    <w:p w:rsidR="00177CA2" w:rsidRDefault="00177CA2" w:rsidP="00CC0117">
      <w:pPr>
        <w:spacing w:after="0" w:line="480" w:lineRule="auto"/>
        <w:rPr>
          <w:rFonts w:ascii="Times New Roman" w:hAnsi="Times New Roman" w:cs="Times New Roman"/>
          <w:sz w:val="24"/>
          <w:szCs w:val="24"/>
        </w:rPr>
      </w:pPr>
      <w:r w:rsidRPr="00177CA2">
        <w:rPr>
          <w:rFonts w:ascii="Times New Roman" w:hAnsi="Times New Roman" w:cs="Times New Roman"/>
          <w:sz w:val="24"/>
          <w:szCs w:val="24"/>
        </w:rPr>
        <w:t xml:space="preserve">Zhang, Y. J., Murthy, U. S., &amp; Gaynor, L. M. (2018). Can Links </w:t>
      </w:r>
      <w:r w:rsidR="00F52D18">
        <w:rPr>
          <w:rFonts w:ascii="Times New Roman" w:hAnsi="Times New Roman" w:cs="Times New Roman"/>
          <w:sz w:val="24"/>
          <w:szCs w:val="24"/>
        </w:rPr>
        <w:t>to Source Financial Information</w:t>
      </w:r>
      <w:r w:rsidR="00F52D18">
        <w:rPr>
          <w:rFonts w:ascii="Times New Roman" w:hAnsi="Times New Roman" w:cs="Times New Roman"/>
          <w:sz w:val="24"/>
          <w:szCs w:val="24"/>
        </w:rPr>
        <w:tab/>
      </w:r>
      <w:r w:rsidRPr="00177CA2">
        <w:rPr>
          <w:rFonts w:ascii="Times New Roman" w:hAnsi="Times New Roman" w:cs="Times New Roman"/>
          <w:sz w:val="24"/>
          <w:szCs w:val="24"/>
        </w:rPr>
        <w:t>Mitigate the Effect of Distorted Graphs?. Uday S. and Ga</w:t>
      </w:r>
      <w:r w:rsidR="00F52D18">
        <w:rPr>
          <w:rFonts w:ascii="Times New Roman" w:hAnsi="Times New Roman" w:cs="Times New Roman"/>
          <w:sz w:val="24"/>
          <w:szCs w:val="24"/>
        </w:rPr>
        <w:t>ynor, Lisa Milici, Can Links to</w:t>
      </w:r>
      <w:r w:rsidR="00F52D18">
        <w:rPr>
          <w:rFonts w:ascii="Times New Roman" w:hAnsi="Times New Roman" w:cs="Times New Roman"/>
          <w:sz w:val="24"/>
          <w:szCs w:val="24"/>
        </w:rPr>
        <w:tab/>
      </w:r>
      <w:r w:rsidRPr="00177CA2">
        <w:rPr>
          <w:rFonts w:ascii="Times New Roman" w:hAnsi="Times New Roman" w:cs="Times New Roman"/>
          <w:sz w:val="24"/>
          <w:szCs w:val="24"/>
        </w:rPr>
        <w:t>Source Financial Information Mitigate the Effect of Distorted Graphs.</w:t>
      </w:r>
    </w:p>
    <w:p w:rsidR="00CC0117" w:rsidRPr="00CC0117" w:rsidRDefault="00CC0117" w:rsidP="00CC0117">
      <w:pPr>
        <w:spacing w:after="0" w:line="480" w:lineRule="auto"/>
        <w:rPr>
          <w:rFonts w:ascii="Times New Roman" w:hAnsi="Times New Roman" w:cs="Times New Roman"/>
          <w:sz w:val="24"/>
          <w:szCs w:val="24"/>
        </w:rPr>
      </w:pPr>
      <w:r w:rsidRPr="00CC0117">
        <w:rPr>
          <w:rFonts w:ascii="Times New Roman" w:hAnsi="Times New Roman" w:cs="Times New Roman"/>
          <w:sz w:val="24"/>
          <w:szCs w:val="24"/>
        </w:rPr>
        <w:t xml:space="preserve">Zokaei, K., Lovins, H., Wood, A., &amp; Hines, P. (2016). Creating a lean and green business </w:t>
      </w:r>
      <w:r>
        <w:rPr>
          <w:rFonts w:ascii="Times New Roman" w:hAnsi="Times New Roman" w:cs="Times New Roman"/>
          <w:sz w:val="24"/>
          <w:szCs w:val="24"/>
        </w:rPr>
        <w:tab/>
      </w:r>
      <w:r w:rsidRPr="00CC0117">
        <w:rPr>
          <w:rFonts w:ascii="Times New Roman" w:hAnsi="Times New Roman" w:cs="Times New Roman"/>
          <w:sz w:val="24"/>
          <w:szCs w:val="24"/>
        </w:rPr>
        <w:t>system: techniques for improving profits and sustainability. Productivity Press.</w:t>
      </w:r>
    </w:p>
    <w:p w:rsidR="00861525" w:rsidRPr="00CC0117" w:rsidRDefault="00861525" w:rsidP="00CC0117">
      <w:pPr>
        <w:spacing w:after="0" w:line="480" w:lineRule="auto"/>
        <w:rPr>
          <w:rFonts w:ascii="Times New Roman" w:hAnsi="Times New Roman" w:cs="Times New Roman"/>
          <w:sz w:val="24"/>
          <w:szCs w:val="24"/>
        </w:rPr>
      </w:pPr>
    </w:p>
    <w:sectPr w:rsidR="00861525" w:rsidRPr="00CC0117" w:rsidSect="00CC011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C2A" w:rsidRDefault="00326C2A" w:rsidP="00CC0117">
      <w:pPr>
        <w:spacing w:after="0" w:line="240" w:lineRule="auto"/>
      </w:pPr>
      <w:r>
        <w:separator/>
      </w:r>
    </w:p>
  </w:endnote>
  <w:endnote w:type="continuationSeparator" w:id="0">
    <w:p w:rsidR="00326C2A" w:rsidRDefault="00326C2A" w:rsidP="00CC0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C2A" w:rsidRDefault="00326C2A" w:rsidP="00CC0117">
      <w:pPr>
        <w:spacing w:after="0" w:line="240" w:lineRule="auto"/>
      </w:pPr>
      <w:r>
        <w:separator/>
      </w:r>
    </w:p>
  </w:footnote>
  <w:footnote w:type="continuationSeparator" w:id="0">
    <w:p w:rsidR="00326C2A" w:rsidRDefault="00326C2A" w:rsidP="00CC01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117" w:rsidRPr="00CC0117" w:rsidRDefault="00CC0117" w:rsidP="00CC0117">
    <w:pPr>
      <w:pStyle w:val="Header"/>
      <w:jc w:val="right"/>
      <w:rPr>
        <w:rFonts w:ascii="Times New Roman" w:hAnsi="Times New Roman" w:cs="Times New Roman"/>
        <w:sz w:val="24"/>
        <w:szCs w:val="24"/>
      </w:rPr>
    </w:pPr>
    <w:r w:rsidRPr="00CC0117">
      <w:rPr>
        <w:rFonts w:ascii="Times New Roman" w:hAnsi="Times New Roman" w:cs="Times New Roman"/>
        <w:sz w:val="24"/>
        <w:szCs w:val="24"/>
      </w:rPr>
      <w:t>LOWE’S COMPANY</w:t>
    </w:r>
    <w:r w:rsidRPr="00CC0117">
      <w:rPr>
        <w:rFonts w:ascii="Times New Roman" w:hAnsi="Times New Roman" w:cs="Times New Roman"/>
        <w:sz w:val="24"/>
        <w:szCs w:val="24"/>
      </w:rPr>
      <w:tab/>
    </w:r>
    <w:r w:rsidRPr="00CC0117">
      <w:rPr>
        <w:rFonts w:ascii="Times New Roman" w:hAnsi="Times New Roman" w:cs="Times New Roman"/>
        <w:sz w:val="24"/>
        <w:szCs w:val="24"/>
      </w:rPr>
      <w:tab/>
    </w:r>
    <w:sdt>
      <w:sdtPr>
        <w:rPr>
          <w:rFonts w:ascii="Times New Roman" w:hAnsi="Times New Roman" w:cs="Times New Roman"/>
          <w:sz w:val="24"/>
          <w:szCs w:val="24"/>
        </w:rPr>
        <w:id w:val="-404691422"/>
        <w:docPartObj>
          <w:docPartGallery w:val="Page Numbers (Top of Page)"/>
          <w:docPartUnique/>
        </w:docPartObj>
      </w:sdtPr>
      <w:sdtEndPr>
        <w:rPr>
          <w:noProof/>
        </w:rPr>
      </w:sdtEndPr>
      <w:sdtContent>
        <w:r w:rsidRPr="00CC0117">
          <w:rPr>
            <w:rFonts w:ascii="Times New Roman" w:hAnsi="Times New Roman" w:cs="Times New Roman"/>
            <w:sz w:val="24"/>
            <w:szCs w:val="24"/>
          </w:rPr>
          <w:fldChar w:fldCharType="begin"/>
        </w:r>
        <w:r w:rsidRPr="00CC0117">
          <w:rPr>
            <w:rFonts w:ascii="Times New Roman" w:hAnsi="Times New Roman" w:cs="Times New Roman"/>
            <w:sz w:val="24"/>
            <w:szCs w:val="24"/>
          </w:rPr>
          <w:instrText xml:space="preserve"> PAGE   \* MERGEFORMAT </w:instrText>
        </w:r>
        <w:r w:rsidRPr="00CC0117">
          <w:rPr>
            <w:rFonts w:ascii="Times New Roman" w:hAnsi="Times New Roman" w:cs="Times New Roman"/>
            <w:sz w:val="24"/>
            <w:szCs w:val="24"/>
          </w:rPr>
          <w:fldChar w:fldCharType="separate"/>
        </w:r>
        <w:r w:rsidR="00206EBC">
          <w:rPr>
            <w:rFonts w:ascii="Times New Roman" w:hAnsi="Times New Roman" w:cs="Times New Roman"/>
            <w:noProof/>
            <w:sz w:val="24"/>
            <w:szCs w:val="24"/>
          </w:rPr>
          <w:t>4</w:t>
        </w:r>
        <w:r w:rsidRPr="00CC011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117" w:rsidRPr="00CC0117" w:rsidRDefault="00CC0117" w:rsidP="00CC0117">
    <w:pPr>
      <w:pStyle w:val="Header"/>
      <w:jc w:val="right"/>
      <w:rPr>
        <w:rFonts w:ascii="Times New Roman" w:hAnsi="Times New Roman" w:cs="Times New Roman"/>
        <w:sz w:val="24"/>
        <w:szCs w:val="24"/>
      </w:rPr>
    </w:pPr>
    <w:r w:rsidRPr="00CC0117">
      <w:rPr>
        <w:rFonts w:ascii="Times New Roman" w:hAnsi="Times New Roman" w:cs="Times New Roman"/>
        <w:sz w:val="24"/>
        <w:szCs w:val="24"/>
      </w:rPr>
      <w:t>Running head: LOWE’S COMPANY</w:t>
    </w:r>
    <w:r>
      <w:rPr>
        <w:rFonts w:ascii="Times New Roman" w:hAnsi="Times New Roman" w:cs="Times New Roman"/>
        <w:sz w:val="24"/>
        <w:szCs w:val="24"/>
      </w:rPr>
      <w:tab/>
    </w:r>
    <w:r w:rsidRPr="00CC0117">
      <w:rPr>
        <w:rFonts w:ascii="Times New Roman" w:hAnsi="Times New Roman" w:cs="Times New Roman"/>
        <w:sz w:val="24"/>
        <w:szCs w:val="24"/>
      </w:rPr>
      <w:tab/>
    </w:r>
    <w:sdt>
      <w:sdtPr>
        <w:rPr>
          <w:rFonts w:ascii="Times New Roman" w:hAnsi="Times New Roman" w:cs="Times New Roman"/>
          <w:sz w:val="24"/>
          <w:szCs w:val="24"/>
        </w:rPr>
        <w:id w:val="-1169789621"/>
        <w:docPartObj>
          <w:docPartGallery w:val="Page Numbers (Top of Page)"/>
          <w:docPartUnique/>
        </w:docPartObj>
      </w:sdtPr>
      <w:sdtEndPr>
        <w:rPr>
          <w:noProof/>
        </w:rPr>
      </w:sdtEndPr>
      <w:sdtContent>
        <w:r w:rsidRPr="00CC0117">
          <w:rPr>
            <w:rFonts w:ascii="Times New Roman" w:hAnsi="Times New Roman" w:cs="Times New Roman"/>
            <w:sz w:val="24"/>
            <w:szCs w:val="24"/>
          </w:rPr>
          <w:fldChar w:fldCharType="begin"/>
        </w:r>
        <w:r w:rsidRPr="00CC0117">
          <w:rPr>
            <w:rFonts w:ascii="Times New Roman" w:hAnsi="Times New Roman" w:cs="Times New Roman"/>
            <w:sz w:val="24"/>
            <w:szCs w:val="24"/>
          </w:rPr>
          <w:instrText xml:space="preserve"> PAGE   \* MERGEFORMAT </w:instrText>
        </w:r>
        <w:r w:rsidRPr="00CC0117">
          <w:rPr>
            <w:rFonts w:ascii="Times New Roman" w:hAnsi="Times New Roman" w:cs="Times New Roman"/>
            <w:sz w:val="24"/>
            <w:szCs w:val="24"/>
          </w:rPr>
          <w:fldChar w:fldCharType="separate"/>
        </w:r>
        <w:r w:rsidR="00F52D18">
          <w:rPr>
            <w:rFonts w:ascii="Times New Roman" w:hAnsi="Times New Roman" w:cs="Times New Roman"/>
            <w:noProof/>
            <w:sz w:val="24"/>
            <w:szCs w:val="24"/>
          </w:rPr>
          <w:t>1</w:t>
        </w:r>
        <w:r w:rsidRPr="00CC011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1CC"/>
    <w:rsid w:val="000111CC"/>
    <w:rsid w:val="000C02F2"/>
    <w:rsid w:val="00177CA2"/>
    <w:rsid w:val="00206EBC"/>
    <w:rsid w:val="00280ACB"/>
    <w:rsid w:val="00326C2A"/>
    <w:rsid w:val="0046192D"/>
    <w:rsid w:val="00462C81"/>
    <w:rsid w:val="006247B7"/>
    <w:rsid w:val="006B724A"/>
    <w:rsid w:val="00861525"/>
    <w:rsid w:val="008A251D"/>
    <w:rsid w:val="008C357A"/>
    <w:rsid w:val="009C52CD"/>
    <w:rsid w:val="00AE47D8"/>
    <w:rsid w:val="00B77511"/>
    <w:rsid w:val="00CC0117"/>
    <w:rsid w:val="00D01CBA"/>
    <w:rsid w:val="00DF6E06"/>
    <w:rsid w:val="00E01E3F"/>
    <w:rsid w:val="00E72082"/>
    <w:rsid w:val="00F52D18"/>
    <w:rsid w:val="00F84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3B834D-997A-4DD8-BBC3-48A7D07ED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01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0117"/>
  </w:style>
  <w:style w:type="paragraph" w:styleId="Footer">
    <w:name w:val="footer"/>
    <w:basedOn w:val="Normal"/>
    <w:link w:val="FooterChar"/>
    <w:uiPriority w:val="99"/>
    <w:unhideWhenUsed/>
    <w:rsid w:val="00CC01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0117"/>
  </w:style>
  <w:style w:type="character" w:styleId="Hyperlink">
    <w:name w:val="Hyperlink"/>
    <w:basedOn w:val="DefaultParagraphFont"/>
    <w:uiPriority w:val="99"/>
    <w:unhideWhenUsed/>
    <w:rsid w:val="00177C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izjournals.com/charlotte/news/2018/11/20/lowe-s-to-exit-mexico%09operations-beats-market.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1076</Words>
  <Characters>6135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2019-02-28T13:52:00Z</dcterms:created>
  <dcterms:modified xsi:type="dcterms:W3CDTF">2019-02-28T13:52:00Z</dcterms:modified>
</cp:coreProperties>
</file>